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47" w:rsidRPr="005328D5" w:rsidRDefault="007B0147" w:rsidP="005328D5">
      <w:pPr>
        <w:spacing w:after="0" w:line="240" w:lineRule="auto"/>
        <w:rPr>
          <w:b/>
        </w:rPr>
      </w:pPr>
      <w:bookmarkStart w:id="0" w:name="_GoBack"/>
      <w:bookmarkEnd w:id="0"/>
      <w:r w:rsidRPr="005328D5">
        <w:rPr>
          <w:b/>
        </w:rPr>
        <w:t xml:space="preserve">FOREIGN TRADE </w:t>
      </w:r>
    </w:p>
    <w:p w:rsidR="007B0147" w:rsidRPr="005328D5" w:rsidRDefault="007B0147" w:rsidP="005328D5">
      <w:pPr>
        <w:spacing w:after="0" w:line="240" w:lineRule="auto"/>
        <w:rPr>
          <w:b/>
        </w:rPr>
      </w:pPr>
    </w:p>
    <w:p w:rsidR="007B0147" w:rsidRPr="005328D5" w:rsidRDefault="007B0147" w:rsidP="005328D5">
      <w:pPr>
        <w:spacing w:after="0" w:line="240" w:lineRule="auto"/>
        <w:rPr>
          <w:b/>
        </w:rPr>
      </w:pPr>
      <w:r w:rsidRPr="005328D5">
        <w:rPr>
          <w:b/>
        </w:rPr>
        <w:t xml:space="preserve">Decree 1676/2014 </w:t>
      </w:r>
    </w:p>
    <w:p w:rsidR="007B0147" w:rsidRPr="005328D5" w:rsidRDefault="007B0147" w:rsidP="005328D5">
      <w:pPr>
        <w:spacing w:after="0" w:line="240" w:lineRule="auto"/>
        <w:rPr>
          <w:b/>
        </w:rPr>
      </w:pPr>
    </w:p>
    <w:p w:rsidR="007B0147" w:rsidRPr="005328D5" w:rsidRDefault="007B0147" w:rsidP="005328D5">
      <w:pPr>
        <w:spacing w:after="0" w:line="240" w:lineRule="auto"/>
        <w:rPr>
          <w:b/>
        </w:rPr>
      </w:pPr>
      <w:r>
        <w:rPr>
          <w:b/>
        </w:rPr>
        <w:t xml:space="preserve">Decree No. </w:t>
      </w:r>
      <w:r w:rsidRPr="005328D5">
        <w:rPr>
          <w:b/>
        </w:rPr>
        <w:t xml:space="preserve">509/2007 and Decree No. 25/2013. </w:t>
      </w:r>
      <w:proofErr w:type="gramStart"/>
      <w:r w:rsidRPr="005328D5">
        <w:rPr>
          <w:b/>
        </w:rPr>
        <w:t>Modifications.</w:t>
      </w:r>
      <w:proofErr w:type="gramEnd"/>
      <w:r w:rsidRPr="005328D5">
        <w:rPr>
          <w:b/>
        </w:rPr>
        <w:t xml:space="preserve"> </w:t>
      </w:r>
    </w:p>
    <w:p w:rsidR="007B0147" w:rsidRPr="005328D5" w:rsidRDefault="007B0147" w:rsidP="005328D5">
      <w:pPr>
        <w:spacing w:after="0" w:line="240" w:lineRule="auto"/>
        <w:rPr>
          <w:b/>
        </w:rPr>
      </w:pPr>
    </w:p>
    <w:p w:rsidR="007B0147" w:rsidRDefault="007B0147" w:rsidP="005328D5">
      <w:pPr>
        <w:spacing w:after="0" w:line="240" w:lineRule="auto"/>
        <w:rPr>
          <w:b/>
        </w:rPr>
      </w:pPr>
      <w:proofErr w:type="spellStart"/>
      <w:r w:rsidRPr="005328D5">
        <w:rPr>
          <w:b/>
        </w:rPr>
        <w:t>Bs</w:t>
      </w:r>
      <w:proofErr w:type="spellEnd"/>
      <w:r w:rsidRPr="005328D5">
        <w:rPr>
          <w:b/>
        </w:rPr>
        <w:t xml:space="preserve">. As., 25/09/2014 </w:t>
      </w:r>
    </w:p>
    <w:p w:rsidR="007B0147" w:rsidRDefault="007B0147" w:rsidP="005328D5">
      <w:pPr>
        <w:spacing w:after="0" w:line="240" w:lineRule="auto"/>
        <w:rPr>
          <w:b/>
        </w:rPr>
      </w:pPr>
    </w:p>
    <w:p w:rsidR="007B0147" w:rsidRPr="005328D5" w:rsidRDefault="007B0147" w:rsidP="005328D5">
      <w:pPr>
        <w:spacing w:after="0" w:line="240" w:lineRule="auto"/>
        <w:rPr>
          <w:b/>
        </w:rPr>
      </w:pPr>
      <w:r>
        <w:rPr>
          <w:b/>
        </w:rPr>
        <w:t>Published 06/10/2014</w:t>
      </w:r>
    </w:p>
    <w:p w:rsidR="007B0147" w:rsidRDefault="007B0147" w:rsidP="005328D5">
      <w:pPr>
        <w:spacing w:after="0" w:line="240" w:lineRule="auto"/>
      </w:pPr>
    </w:p>
    <w:p w:rsidR="007B0147" w:rsidRDefault="007B0147" w:rsidP="005328D5">
      <w:pPr>
        <w:spacing w:after="0" w:line="240" w:lineRule="auto"/>
      </w:pPr>
      <w:r>
        <w:t xml:space="preserve">SEEN File No. S01: 0032242/2014 of the registry of the MINISTRY OF ECONOMY AND PUBLIC FINANCES, and </w:t>
      </w:r>
    </w:p>
    <w:p w:rsidR="007B0147" w:rsidRDefault="007B0147" w:rsidP="005328D5">
      <w:pPr>
        <w:spacing w:after="0" w:line="240" w:lineRule="auto"/>
      </w:pPr>
    </w:p>
    <w:p w:rsidR="007B0147" w:rsidRDefault="007B0147" w:rsidP="005328D5">
      <w:pPr>
        <w:spacing w:after="0" w:line="240" w:lineRule="auto"/>
      </w:pPr>
      <w:r>
        <w:t xml:space="preserve">WHEREAS: </w:t>
      </w:r>
    </w:p>
    <w:p w:rsidR="007B0147" w:rsidRDefault="007B0147" w:rsidP="005328D5">
      <w:pPr>
        <w:spacing w:after="0" w:line="240" w:lineRule="auto"/>
      </w:pPr>
    </w:p>
    <w:p w:rsidR="007B0147" w:rsidRDefault="007B0147" w:rsidP="005328D5">
      <w:pPr>
        <w:spacing w:after="0" w:line="240" w:lineRule="auto"/>
        <w:jc w:val="both"/>
      </w:pPr>
      <w:r>
        <w:t xml:space="preserve">That through Decision No. 39 dated December 20, 2011 of the Common Market Council, authorizing the States Parties of the Southern Common Market (MERCOSUR) to increase transiently ONE HUNDRED (100) tariff positions, aliquots of import tax above the Common External tariff (CET) to imports from outside the region, not being able to be above the maximum bound tariff for each State Party to the WORLD TRADE ORGANIZATION (WTO). </w:t>
      </w:r>
    </w:p>
    <w:p w:rsidR="007B0147" w:rsidRDefault="007B0147" w:rsidP="005328D5">
      <w:pPr>
        <w:spacing w:after="0" w:line="240" w:lineRule="auto"/>
        <w:jc w:val="both"/>
      </w:pPr>
    </w:p>
    <w:p w:rsidR="007B0147" w:rsidRDefault="007B0147" w:rsidP="005328D5">
      <w:pPr>
        <w:spacing w:after="0" w:line="240" w:lineRule="auto"/>
        <w:jc w:val="both"/>
      </w:pPr>
      <w:r>
        <w:t xml:space="preserve">That by Decree No. 25 dated January 22, 2013 the list of tariff items of </w:t>
      </w:r>
      <w:proofErr w:type="spellStart"/>
      <w:r>
        <w:t>Mercosur</w:t>
      </w:r>
      <w:proofErr w:type="spellEnd"/>
      <w:r>
        <w:t xml:space="preserve"> Common Nomenclature (NCM) in ARGENTINA for the transitory increase of aliquots corresponding to Import Duty </w:t>
      </w:r>
      <w:proofErr w:type="spellStart"/>
      <w:r>
        <w:t>Extrazone</w:t>
      </w:r>
      <w:proofErr w:type="spellEnd"/>
      <w:r>
        <w:t xml:space="preserve"> (DIE) was established, which amended Annex I of Decree No. 509 dated May 15, 2007, and its amendments. </w:t>
      </w:r>
    </w:p>
    <w:p w:rsidR="007B0147" w:rsidRDefault="007B0147" w:rsidP="005328D5">
      <w:pPr>
        <w:spacing w:after="0" w:line="240" w:lineRule="auto"/>
        <w:jc w:val="both"/>
      </w:pPr>
    </w:p>
    <w:p w:rsidR="007B0147" w:rsidRDefault="007B0147" w:rsidP="005328D5">
      <w:pPr>
        <w:spacing w:after="0" w:line="240" w:lineRule="auto"/>
        <w:jc w:val="both"/>
      </w:pPr>
      <w:r>
        <w:t xml:space="preserve">It is necessary to replace the list of the Annex established by Decree No. 25/13 under the terms of Article 8 of the Community Regulation standard of the Common Market Council cited, in compliance with the regulated by Articles 3 and 4 of the same standard. </w:t>
      </w:r>
    </w:p>
    <w:p w:rsidR="007B0147" w:rsidRDefault="007B0147" w:rsidP="005328D5">
      <w:pPr>
        <w:spacing w:after="0" w:line="240" w:lineRule="auto"/>
        <w:jc w:val="both"/>
      </w:pPr>
    </w:p>
    <w:p w:rsidR="007B0147" w:rsidRDefault="007B0147" w:rsidP="005328D5">
      <w:pPr>
        <w:spacing w:after="0" w:line="240" w:lineRule="auto"/>
        <w:jc w:val="both"/>
      </w:pPr>
      <w:r>
        <w:t xml:space="preserve">The Directorate General of Legal Affairs of the MINISTRY OF ECONOMY AND PUBLIC FINANCES has taken action within its jurisdiction. </w:t>
      </w:r>
    </w:p>
    <w:p w:rsidR="007B0147" w:rsidRDefault="007B0147" w:rsidP="005328D5">
      <w:pPr>
        <w:spacing w:after="0" w:line="240" w:lineRule="auto"/>
        <w:jc w:val="both"/>
      </w:pPr>
    </w:p>
    <w:p w:rsidR="007B0147" w:rsidRDefault="007B0147" w:rsidP="005328D5">
      <w:pPr>
        <w:spacing w:after="0" w:line="240" w:lineRule="auto"/>
        <w:jc w:val="both"/>
      </w:pPr>
      <w:r>
        <w:t xml:space="preserve">That this decree was issued in exercise of the powers conferred by the NATIONAL EXECUTIVE POWER paragraphs 1 and 2 of Article 99 of the National Constitution, Articles 11, paragraph 2 and 12 of Law No. 22.415 (Customs Code) Act and its amendments and by Law No. 25,561 on Public Emergency and Exchange System Reform, extended by the similar No. 26,896. </w:t>
      </w:r>
    </w:p>
    <w:p w:rsidR="007B0147" w:rsidRDefault="007B0147" w:rsidP="005328D5">
      <w:pPr>
        <w:spacing w:after="0" w:line="240" w:lineRule="auto"/>
        <w:jc w:val="both"/>
      </w:pPr>
    </w:p>
    <w:p w:rsidR="007B0147" w:rsidRDefault="007B0147" w:rsidP="005328D5">
      <w:pPr>
        <w:spacing w:after="0" w:line="240" w:lineRule="auto"/>
        <w:jc w:val="both"/>
      </w:pPr>
      <w:r>
        <w:t xml:space="preserve">Thus, </w:t>
      </w:r>
    </w:p>
    <w:p w:rsidR="007B0147" w:rsidRDefault="007B0147" w:rsidP="005328D5">
      <w:pPr>
        <w:spacing w:after="0" w:line="240" w:lineRule="auto"/>
        <w:jc w:val="both"/>
      </w:pPr>
    </w:p>
    <w:p w:rsidR="007B0147" w:rsidRDefault="007B0147" w:rsidP="005328D5">
      <w:pPr>
        <w:spacing w:after="0" w:line="240" w:lineRule="auto"/>
        <w:jc w:val="both"/>
      </w:pPr>
      <w:r>
        <w:t xml:space="preserve">The PRESIDENT OF ARGENTINA </w:t>
      </w:r>
    </w:p>
    <w:p w:rsidR="007B0147" w:rsidRDefault="007B0147" w:rsidP="005328D5">
      <w:pPr>
        <w:spacing w:after="0" w:line="240" w:lineRule="auto"/>
        <w:jc w:val="both"/>
      </w:pPr>
    </w:p>
    <w:p w:rsidR="007B0147" w:rsidRDefault="007B0147" w:rsidP="005328D5">
      <w:pPr>
        <w:spacing w:after="0" w:line="240" w:lineRule="auto"/>
        <w:jc w:val="both"/>
      </w:pPr>
      <w:r>
        <w:t xml:space="preserve">Decrees: </w:t>
      </w:r>
    </w:p>
    <w:p w:rsidR="007B0147" w:rsidRDefault="007B0147" w:rsidP="005328D5">
      <w:pPr>
        <w:spacing w:after="0" w:line="240" w:lineRule="auto"/>
        <w:jc w:val="both"/>
      </w:pPr>
    </w:p>
    <w:p w:rsidR="007B0147" w:rsidRDefault="007B0147" w:rsidP="005328D5">
      <w:pPr>
        <w:spacing w:after="0" w:line="240" w:lineRule="auto"/>
        <w:jc w:val="both"/>
      </w:pPr>
      <w:r>
        <w:t xml:space="preserve">Section 1 - Modify Annex I of Decree No. 509 dated May 15, 2007, as amended, aliquots of Import Duty </w:t>
      </w:r>
      <w:proofErr w:type="spellStart"/>
      <w:r>
        <w:t>Extrazone</w:t>
      </w:r>
      <w:proofErr w:type="spellEnd"/>
      <w:r>
        <w:t xml:space="preserve"> (DIE) of the following tariff items of the </w:t>
      </w:r>
      <w:proofErr w:type="spellStart"/>
      <w:r>
        <w:t>Mercosur</w:t>
      </w:r>
      <w:proofErr w:type="spellEnd"/>
      <w:r>
        <w:t xml:space="preserve"> Common Nomenclature (NCM) by which in each case are as follows:</w:t>
      </w:r>
    </w:p>
    <w:p w:rsidR="007B0147" w:rsidRDefault="007B0147" w:rsidP="005328D5">
      <w:pPr>
        <w:spacing w:after="0" w:line="240" w:lineRule="auto"/>
        <w:jc w:val="both"/>
      </w:pPr>
    </w:p>
    <w:p w:rsidR="007B0147" w:rsidRPr="005328D5" w:rsidRDefault="007B0147" w:rsidP="005328D5">
      <w:pPr>
        <w:spacing w:after="0" w:line="240" w:lineRule="auto"/>
        <w:jc w:val="both"/>
        <w:rPr>
          <w:rFonts w:ascii="Times New Roman" w:hAnsi="Times New Roman"/>
          <w:sz w:val="24"/>
          <w:szCs w:val="24"/>
        </w:rPr>
      </w:pPr>
    </w:p>
    <w:tbl>
      <w:tblPr>
        <w:tblpPr w:leftFromText="180" w:rightFromText="180" w:vertAnchor="page" w:horzAnchor="margin" w:tblpY="1291"/>
        <w:tblW w:w="9050" w:type="dxa"/>
        <w:tblCellSpacing w:w="15" w:type="dxa"/>
        <w:tblBorders>
          <w:top w:val="outset" w:sz="6" w:space="0" w:color="auto"/>
          <w:left w:val="outset" w:sz="6" w:space="0" w:color="auto"/>
          <w:bottom w:val="outset" w:sz="6" w:space="0" w:color="auto"/>
          <w:right w:val="outset" w:sz="6" w:space="0" w:color="auto"/>
        </w:tblBorders>
        <w:tblCellMar>
          <w:top w:w="150" w:type="dxa"/>
          <w:left w:w="15" w:type="dxa"/>
          <w:bottom w:w="150" w:type="dxa"/>
          <w:right w:w="15" w:type="dxa"/>
        </w:tblCellMar>
        <w:tblLook w:val="00A0" w:firstRow="1" w:lastRow="0" w:firstColumn="1" w:lastColumn="0" w:noHBand="0" w:noVBand="0"/>
      </w:tblPr>
      <w:tblGrid>
        <w:gridCol w:w="7402"/>
        <w:gridCol w:w="1648"/>
      </w:tblGrid>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N.C.M.</w:t>
            </w:r>
            <w:r>
              <w:rPr>
                <w:rFonts w:ascii="Arial" w:hAnsi="Arial" w:cs="Arial"/>
                <w:color w:val="000000"/>
                <w:sz w:val="18"/>
                <w:szCs w:val="18"/>
              </w:rPr>
              <w:t xml:space="preserve"> (MERCOSUR TARIFF SYSTME)</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D.I.E. %</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0810.50.00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10,0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1209.29.00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0,0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1604.14.10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16,0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1604.20.10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16,0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2002.90.90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14,0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2204.10.10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35,0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3604.10.00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20,0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3808.93.23</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35,0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8480.41.00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35,0</w:t>
            </w:r>
          </w:p>
        </w:tc>
      </w:tr>
      <w:tr w:rsidR="007B0147" w:rsidRPr="004F3E24" w:rsidTr="005328D5">
        <w:trPr>
          <w:trHeight w:val="117"/>
          <w:tblCellSpacing w:w="15" w:type="dxa"/>
        </w:trPr>
        <w:tc>
          <w:tcPr>
            <w:tcW w:w="0" w:type="auto"/>
            <w:tcBorders>
              <w:top w:val="outset" w:sz="6" w:space="0" w:color="auto"/>
              <w:bottom w:val="single" w:sz="6" w:space="0" w:color="666666"/>
              <w:right w:val="outset" w:sz="6" w:space="0" w:color="auto"/>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8903.99.00</w:t>
            </w:r>
          </w:p>
        </w:tc>
        <w:tc>
          <w:tcPr>
            <w:tcW w:w="0" w:type="auto"/>
            <w:tcBorders>
              <w:top w:val="outset" w:sz="6" w:space="0" w:color="auto"/>
              <w:left w:val="outset" w:sz="6" w:space="0" w:color="auto"/>
              <w:bottom w:val="single" w:sz="6" w:space="0" w:color="666666"/>
            </w:tcBorders>
            <w:shd w:val="clear" w:color="auto" w:fill="FFFFFF"/>
          </w:tcPr>
          <w:p w:rsidR="007B0147" w:rsidRPr="005328D5" w:rsidRDefault="007B0147" w:rsidP="005328D5">
            <w:pPr>
              <w:spacing w:after="0" w:line="240" w:lineRule="auto"/>
              <w:jc w:val="center"/>
              <w:rPr>
                <w:rFonts w:ascii="Arial" w:hAnsi="Arial" w:cs="Arial"/>
                <w:color w:val="000000"/>
                <w:sz w:val="18"/>
                <w:szCs w:val="18"/>
              </w:rPr>
            </w:pPr>
            <w:r w:rsidRPr="005328D5">
              <w:rPr>
                <w:rFonts w:ascii="Arial" w:hAnsi="Arial" w:cs="Arial"/>
                <w:color w:val="000000"/>
                <w:sz w:val="18"/>
                <w:szCs w:val="18"/>
              </w:rPr>
              <w:t>35,0</w:t>
            </w:r>
          </w:p>
        </w:tc>
      </w:tr>
    </w:tbl>
    <w:p w:rsidR="007B0147" w:rsidRDefault="007B0147" w:rsidP="005328D5">
      <w:pPr>
        <w:spacing w:after="0" w:line="240" w:lineRule="auto"/>
        <w:jc w:val="both"/>
      </w:pPr>
    </w:p>
    <w:p w:rsidR="007B0147" w:rsidRDefault="007B0147" w:rsidP="005328D5">
      <w:pPr>
        <w:spacing w:after="0" w:line="240" w:lineRule="auto"/>
        <w:jc w:val="both"/>
      </w:pPr>
    </w:p>
    <w:p w:rsidR="007B0147" w:rsidRDefault="007B0147" w:rsidP="005328D5">
      <w:pPr>
        <w:spacing w:after="0" w:line="240" w:lineRule="auto"/>
        <w:jc w:val="both"/>
      </w:pPr>
      <w:r>
        <w:t xml:space="preserve">Article 2 - Hereby replaced the Annex of Decree No. 25 dated January 22, 2013 with the Annex which is an integral part of this measure. </w:t>
      </w:r>
    </w:p>
    <w:p w:rsidR="007B0147" w:rsidRDefault="007B0147" w:rsidP="005328D5">
      <w:pPr>
        <w:spacing w:after="0" w:line="240" w:lineRule="auto"/>
        <w:jc w:val="both"/>
      </w:pPr>
    </w:p>
    <w:p w:rsidR="007B0147" w:rsidRDefault="007B0147" w:rsidP="005328D5">
      <w:pPr>
        <w:spacing w:after="0" w:line="240" w:lineRule="auto"/>
        <w:jc w:val="both"/>
      </w:pPr>
      <w:r>
        <w:t xml:space="preserve">Article 3 - Refer certified copy of this decree to the MINISTRY OF FOREIGN AFFAIRS aware as Coordinator of the National Section of the Common Market Group. </w:t>
      </w:r>
    </w:p>
    <w:p w:rsidR="007B0147" w:rsidRDefault="007B0147" w:rsidP="005328D5">
      <w:pPr>
        <w:spacing w:after="0" w:line="240" w:lineRule="auto"/>
        <w:jc w:val="both"/>
      </w:pPr>
    </w:p>
    <w:p w:rsidR="007B0147" w:rsidRDefault="007B0147" w:rsidP="005328D5">
      <w:pPr>
        <w:spacing w:after="0" w:line="240" w:lineRule="auto"/>
        <w:jc w:val="both"/>
      </w:pPr>
      <w:r>
        <w:t xml:space="preserve">Article 4 - This Decree shall take effect from the day following its publication in the Official Gazette. </w:t>
      </w:r>
    </w:p>
    <w:p w:rsidR="007B0147" w:rsidRDefault="007B0147" w:rsidP="005328D5">
      <w:pPr>
        <w:spacing w:after="0" w:line="240" w:lineRule="auto"/>
        <w:jc w:val="both"/>
      </w:pPr>
    </w:p>
    <w:p w:rsidR="007B0147" w:rsidRDefault="007B0147" w:rsidP="005328D5">
      <w:pPr>
        <w:spacing w:after="0" w:line="240" w:lineRule="auto"/>
        <w:jc w:val="both"/>
      </w:pPr>
      <w:r>
        <w:t xml:space="preserve">Article 5 - Communicated, published, transmitted to the National Official Registry and filed. - FERNANDEZ DE KIRCHNER. - Jorge M. </w:t>
      </w:r>
      <w:proofErr w:type="spellStart"/>
      <w:r>
        <w:t>Capitanich</w:t>
      </w:r>
      <w:proofErr w:type="spellEnd"/>
      <w:r>
        <w:t xml:space="preserve">. - Axel </w:t>
      </w:r>
      <w:proofErr w:type="spellStart"/>
      <w:r>
        <w:t>Kicillof</w:t>
      </w:r>
      <w:proofErr w:type="spellEnd"/>
      <w:r>
        <w:t xml:space="preserve">. - Deborah A. </w:t>
      </w:r>
      <w:proofErr w:type="spellStart"/>
      <w:r>
        <w:t>Giorgi</w:t>
      </w:r>
      <w:proofErr w:type="spellEnd"/>
      <w:r>
        <w:t>.</w:t>
      </w:r>
    </w:p>
    <w:p w:rsidR="007B0147" w:rsidRDefault="007B0147" w:rsidP="005328D5">
      <w:pPr>
        <w:spacing w:after="0" w:line="240" w:lineRule="auto"/>
        <w:jc w:val="both"/>
      </w:pPr>
    </w:p>
    <w:p w:rsidR="007B0147" w:rsidRDefault="007B0147" w:rsidP="005328D5">
      <w:pPr>
        <w:spacing w:after="0" w:line="240" w:lineRule="auto"/>
        <w:jc w:val="both"/>
      </w:pPr>
    </w:p>
    <w:p w:rsidR="007B0147" w:rsidRDefault="007B0147" w:rsidP="005328D5">
      <w:pPr>
        <w:spacing w:after="0" w:line="240" w:lineRule="auto"/>
        <w:jc w:val="both"/>
      </w:pPr>
    </w:p>
    <w:p w:rsidR="007B0147" w:rsidRDefault="007B0147" w:rsidP="005328D5">
      <w:pPr>
        <w:spacing w:after="0" w:line="240" w:lineRule="auto"/>
        <w:jc w:val="both"/>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pPr>
    </w:p>
    <w:p w:rsidR="007B0147" w:rsidRDefault="007B0147" w:rsidP="005328D5">
      <w:pPr>
        <w:spacing w:after="0" w:line="240" w:lineRule="auto"/>
        <w:rPr>
          <w:b/>
        </w:rPr>
      </w:pPr>
      <w:r w:rsidRPr="005328D5">
        <w:rPr>
          <w:b/>
        </w:rPr>
        <w:t xml:space="preserve">Annex </w:t>
      </w:r>
    </w:p>
    <w:p w:rsidR="007B0147" w:rsidRDefault="007B0147" w:rsidP="005328D5">
      <w:pPr>
        <w:spacing w:after="0" w:line="240" w:lineRule="auto"/>
        <w:rPr>
          <w:b/>
        </w:rPr>
      </w:pPr>
    </w:p>
    <w:p w:rsidR="007B0147" w:rsidRDefault="00626C46" w:rsidP="005328D5">
      <w:pPr>
        <w:spacing w:after="0" w:line="240" w:lineRule="auto"/>
        <w:rPr>
          <w:b/>
        </w:rPr>
      </w:pPr>
      <w:r>
        <w:rPr>
          <w:noProof/>
          <w:lang w:val="tr-TR" w:eastAsia="tr-TR"/>
        </w:rPr>
        <w:drawing>
          <wp:inline distT="0" distB="0" distL="0" distR="0">
            <wp:extent cx="5619750" cy="7124700"/>
            <wp:effectExtent l="0" t="0" r="0" b="0"/>
            <wp:docPr id="1" name="Imagen 1" descr="http://www.infoleg.gob.ar/infolegInternet/anexos/235000-239999/235857/dec1676-06-10-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foleg.gob.ar/infolegInternet/anexos/235000-239999/235857/dec1676-06-10-2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7124700"/>
                    </a:xfrm>
                    <a:prstGeom prst="rect">
                      <a:avLst/>
                    </a:prstGeom>
                    <a:noFill/>
                    <a:ln>
                      <a:noFill/>
                    </a:ln>
                  </pic:spPr>
                </pic:pic>
              </a:graphicData>
            </a:graphic>
          </wp:inline>
        </w:drawing>
      </w:r>
    </w:p>
    <w:p w:rsidR="007B0147" w:rsidRDefault="007B0147" w:rsidP="000E0FF6">
      <w:pPr>
        <w:spacing w:after="0" w:line="240" w:lineRule="auto"/>
        <w:jc w:val="center"/>
        <w:rPr>
          <w:b/>
        </w:rPr>
      </w:pPr>
      <w:r>
        <w:rPr>
          <w:b/>
        </w:rPr>
        <w:t>******</w:t>
      </w:r>
    </w:p>
    <w:p w:rsidR="007B0147" w:rsidRDefault="007B0147" w:rsidP="00E90C72">
      <w:pPr>
        <w:spacing w:after="0" w:line="240" w:lineRule="auto"/>
        <w:rPr>
          <w:b/>
        </w:rPr>
      </w:pPr>
      <w:r>
        <w:rPr>
          <w:b/>
        </w:rPr>
        <w:t>For the Spanish Text:</w:t>
      </w:r>
    </w:p>
    <w:p w:rsidR="007B0147" w:rsidRPr="005328D5" w:rsidRDefault="00131022" w:rsidP="00E90C72">
      <w:pPr>
        <w:spacing w:after="0" w:line="240" w:lineRule="auto"/>
        <w:rPr>
          <w:b/>
        </w:rPr>
      </w:pPr>
      <w:hyperlink r:id="rId8" w:history="1">
        <w:r w:rsidR="007B0147" w:rsidRPr="007C1E23">
          <w:rPr>
            <w:rStyle w:val="Kpr"/>
            <w:b/>
          </w:rPr>
          <w:t>http://www.infoleg.gob.ar/infolegInternet/anexos/235000-239999/235857/norma.htm</w:t>
        </w:r>
      </w:hyperlink>
      <w:r w:rsidR="007B0147">
        <w:rPr>
          <w:b/>
        </w:rPr>
        <w:t xml:space="preserve"> </w:t>
      </w:r>
    </w:p>
    <w:sectPr w:rsidR="007B0147" w:rsidRPr="005328D5" w:rsidSect="003A145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22" w:rsidRDefault="00131022" w:rsidP="006D5415">
      <w:pPr>
        <w:spacing w:after="0" w:line="240" w:lineRule="auto"/>
      </w:pPr>
      <w:r>
        <w:separator/>
      </w:r>
    </w:p>
  </w:endnote>
  <w:endnote w:type="continuationSeparator" w:id="0">
    <w:p w:rsidR="00131022" w:rsidRDefault="00131022" w:rsidP="006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47" w:rsidRDefault="00A110CA">
    <w:pPr>
      <w:pStyle w:val="Altbilgi"/>
      <w:jc w:val="center"/>
    </w:pPr>
    <w:r>
      <w:fldChar w:fldCharType="begin"/>
    </w:r>
    <w:r>
      <w:instrText>PAGE   \* MERGEFORMAT</w:instrText>
    </w:r>
    <w:r>
      <w:fldChar w:fldCharType="separate"/>
    </w:r>
    <w:r w:rsidR="00F1690D" w:rsidRPr="00F1690D">
      <w:rPr>
        <w:noProof/>
        <w:lang w:val="es-ES"/>
      </w:rPr>
      <w:t>3</w:t>
    </w:r>
    <w:r>
      <w:rPr>
        <w:noProof/>
        <w:lang w:val="es-ES"/>
      </w:rPr>
      <w:fldChar w:fldCharType="end"/>
    </w:r>
  </w:p>
  <w:p w:rsidR="007B0147" w:rsidRDefault="007B01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22" w:rsidRDefault="00131022" w:rsidP="006D5415">
      <w:pPr>
        <w:spacing w:after="0" w:line="240" w:lineRule="auto"/>
      </w:pPr>
      <w:r>
        <w:separator/>
      </w:r>
    </w:p>
  </w:footnote>
  <w:footnote w:type="continuationSeparator" w:id="0">
    <w:p w:rsidR="00131022" w:rsidRDefault="00131022" w:rsidP="006D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47" w:rsidRPr="006D5415" w:rsidRDefault="007B0147" w:rsidP="006D5415">
    <w:pPr>
      <w:pStyle w:val="stbilgi"/>
      <w:jc w:val="right"/>
      <w:rPr>
        <w:b/>
        <w:u w:val="single"/>
      </w:rPr>
    </w:pPr>
    <w:r w:rsidRPr="006D5415">
      <w:rPr>
        <w:b/>
        <w:u w:val="single"/>
      </w:rPr>
      <w:t>GAYRİ RESMİ TERCÜMEDİR</w:t>
    </w:r>
  </w:p>
  <w:p w:rsidR="007B0147" w:rsidRDefault="007B01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D5"/>
    <w:rsid w:val="000E0FF6"/>
    <w:rsid w:val="00117C01"/>
    <w:rsid w:val="00131022"/>
    <w:rsid w:val="001B4313"/>
    <w:rsid w:val="002C2835"/>
    <w:rsid w:val="00355B15"/>
    <w:rsid w:val="003A145D"/>
    <w:rsid w:val="004F3E24"/>
    <w:rsid w:val="005328D5"/>
    <w:rsid w:val="005B07F2"/>
    <w:rsid w:val="00626C46"/>
    <w:rsid w:val="006B1F83"/>
    <w:rsid w:val="006D5415"/>
    <w:rsid w:val="007B0147"/>
    <w:rsid w:val="007C1E23"/>
    <w:rsid w:val="009576F4"/>
    <w:rsid w:val="00A110CA"/>
    <w:rsid w:val="00AF581E"/>
    <w:rsid w:val="00C676F0"/>
    <w:rsid w:val="00CF6B6E"/>
    <w:rsid w:val="00D71F94"/>
    <w:rsid w:val="00E215D4"/>
    <w:rsid w:val="00E90C72"/>
    <w:rsid w:val="00F16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5D"/>
    <w:pPr>
      <w:spacing w:after="200" w:line="276" w:lineRule="auto"/>
    </w:pPr>
    <w:rPr>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532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328D5"/>
    <w:rPr>
      <w:rFonts w:ascii="Tahoma" w:hAnsi="Tahoma" w:cs="Tahoma"/>
      <w:sz w:val="16"/>
      <w:szCs w:val="16"/>
    </w:rPr>
  </w:style>
  <w:style w:type="character" w:styleId="Kpr">
    <w:name w:val="Hyperlink"/>
    <w:basedOn w:val="VarsaylanParagrafYazTipi"/>
    <w:uiPriority w:val="99"/>
    <w:rsid w:val="00E90C72"/>
    <w:rPr>
      <w:rFonts w:cs="Times New Roman"/>
      <w:color w:val="0000FF"/>
      <w:u w:val="single"/>
    </w:rPr>
  </w:style>
  <w:style w:type="paragraph" w:styleId="stbilgi">
    <w:name w:val="header"/>
    <w:basedOn w:val="Normal"/>
    <w:link w:val="stbilgiChar"/>
    <w:uiPriority w:val="99"/>
    <w:rsid w:val="006D5415"/>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6D5415"/>
    <w:rPr>
      <w:rFonts w:cs="Times New Roman"/>
    </w:rPr>
  </w:style>
  <w:style w:type="paragraph" w:styleId="Altbilgi">
    <w:name w:val="footer"/>
    <w:basedOn w:val="Normal"/>
    <w:link w:val="AltbilgiChar"/>
    <w:uiPriority w:val="99"/>
    <w:rsid w:val="006D5415"/>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6D541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5D"/>
    <w:pPr>
      <w:spacing w:after="200" w:line="276" w:lineRule="auto"/>
    </w:pPr>
    <w:rPr>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532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328D5"/>
    <w:rPr>
      <w:rFonts w:ascii="Tahoma" w:hAnsi="Tahoma" w:cs="Tahoma"/>
      <w:sz w:val="16"/>
      <w:szCs w:val="16"/>
    </w:rPr>
  </w:style>
  <w:style w:type="character" w:styleId="Kpr">
    <w:name w:val="Hyperlink"/>
    <w:basedOn w:val="VarsaylanParagrafYazTipi"/>
    <w:uiPriority w:val="99"/>
    <w:rsid w:val="00E90C72"/>
    <w:rPr>
      <w:rFonts w:cs="Times New Roman"/>
      <w:color w:val="0000FF"/>
      <w:u w:val="single"/>
    </w:rPr>
  </w:style>
  <w:style w:type="paragraph" w:styleId="stbilgi">
    <w:name w:val="header"/>
    <w:basedOn w:val="Normal"/>
    <w:link w:val="stbilgiChar"/>
    <w:uiPriority w:val="99"/>
    <w:rsid w:val="006D5415"/>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6D5415"/>
    <w:rPr>
      <w:rFonts w:cs="Times New Roman"/>
    </w:rPr>
  </w:style>
  <w:style w:type="paragraph" w:styleId="Altbilgi">
    <w:name w:val="footer"/>
    <w:basedOn w:val="Normal"/>
    <w:link w:val="AltbilgiChar"/>
    <w:uiPriority w:val="99"/>
    <w:rsid w:val="006D5415"/>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6D54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anexos/235000-239999/235857/norma.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2678</Characters>
  <Application>Microsoft Office Word</Application>
  <DocSecurity>0</DocSecurity>
  <Lines>74</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FOREIGN TRADE</vt:lpstr>
      <vt:lpstr>FOREIGN TRADE </vt:lpstr>
    </vt:vector>
  </TitlesOfParts>
  <Company>Hewlett-Packard Company</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TRADE</dc:title>
  <dc:creator>ali</dc:creator>
  <cp:lastModifiedBy>Caner YILDIRIM</cp:lastModifiedBy>
  <cp:revision>2</cp:revision>
  <dcterms:created xsi:type="dcterms:W3CDTF">2014-10-27T14:17:00Z</dcterms:created>
  <dcterms:modified xsi:type="dcterms:W3CDTF">2014-10-27T14:17:00Z</dcterms:modified>
</cp:coreProperties>
</file>